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00B9" w:rsidRDefault="003C00B9" w:rsidP="003C00B9">
      <w:pPr>
        <w:pStyle w:val="Nagwek2"/>
        <w:tabs>
          <w:tab w:val="clear" w:pos="0"/>
          <w:tab w:val="num" w:pos="576"/>
        </w:tabs>
        <w:spacing w:line="240" w:lineRule="auto"/>
        <w:jc w:val="both"/>
        <w:rPr>
          <w:b/>
        </w:rPr>
      </w:pPr>
      <w:r>
        <w:t>KONSPEKT LEKCJI FIZYKI W KL VII Z WYKORZYSTANIEM TIK W NAUCZANIU( www.scholaris.pl)</w:t>
      </w:r>
    </w:p>
    <w:p w:rsidR="003C00B9" w:rsidRDefault="003C00B9" w:rsidP="003C00B9">
      <w:pPr>
        <w:spacing w:line="240" w:lineRule="auto"/>
      </w:pPr>
      <w:r>
        <w:rPr>
          <w:b/>
        </w:rPr>
        <w:t xml:space="preserve">Temat: </w:t>
      </w:r>
      <w:r>
        <w:t>Przemiany energii mechanicznej.</w:t>
      </w:r>
    </w:p>
    <w:p w:rsidR="003C00B9" w:rsidRDefault="003C00B9" w:rsidP="003C00B9">
      <w:pPr>
        <w:pStyle w:val="Nagwek2"/>
        <w:tabs>
          <w:tab w:val="clear" w:pos="0"/>
          <w:tab w:val="num" w:pos="576"/>
        </w:tabs>
        <w:spacing w:line="240" w:lineRule="auto"/>
        <w:jc w:val="both"/>
        <w:rPr>
          <w:b/>
        </w:rPr>
      </w:pPr>
      <w:r>
        <w:t xml:space="preserve">Treści NAUCZANIA: </w:t>
      </w:r>
    </w:p>
    <w:p w:rsidR="003C00B9" w:rsidRPr="00AD6D4F" w:rsidRDefault="003C00B9" w:rsidP="003C00B9">
      <w:pPr>
        <w:numPr>
          <w:ilvl w:val="0"/>
          <w:numId w:val="2"/>
        </w:numPr>
        <w:suppressAutoHyphens/>
        <w:spacing w:line="240" w:lineRule="auto"/>
        <w:rPr>
          <w:b/>
        </w:rPr>
      </w:pPr>
      <w:r>
        <w:rPr>
          <w:b/>
        </w:rPr>
        <w:t xml:space="preserve">Fizyka, III.4, III.5 </w:t>
      </w:r>
      <w:r>
        <w:t xml:space="preserve">: </w:t>
      </w:r>
    </w:p>
    <w:p w:rsidR="003C00B9" w:rsidRDefault="003C00B9" w:rsidP="003C00B9">
      <w:pPr>
        <w:pStyle w:val="Akapitzlist"/>
        <w:numPr>
          <w:ilvl w:val="0"/>
          <w:numId w:val="6"/>
        </w:numPr>
      </w:pPr>
      <w:r w:rsidRPr="00AD6D4F">
        <w:t>Przemiany energii kinetycznej w potencjalną i odwrotnie</w:t>
      </w:r>
    </w:p>
    <w:p w:rsidR="003C00B9" w:rsidRDefault="003C00B9" w:rsidP="003C00B9">
      <w:pPr>
        <w:pStyle w:val="Akapitzlist"/>
        <w:numPr>
          <w:ilvl w:val="0"/>
          <w:numId w:val="6"/>
        </w:numPr>
      </w:pPr>
      <w:r>
        <w:t>Energia mechaniczna i różne jej formy</w:t>
      </w:r>
    </w:p>
    <w:p w:rsidR="003C00B9" w:rsidRPr="00AD6D4F" w:rsidRDefault="003C00B9" w:rsidP="003C00B9">
      <w:pPr>
        <w:pStyle w:val="Akapitzlist"/>
        <w:numPr>
          <w:ilvl w:val="0"/>
          <w:numId w:val="6"/>
        </w:numPr>
      </w:pPr>
      <w:r>
        <w:t>Zasada zachowania energii mechanicznej</w:t>
      </w:r>
    </w:p>
    <w:p w:rsidR="003C00B9" w:rsidRDefault="003C00B9" w:rsidP="003C00B9">
      <w:pPr>
        <w:numPr>
          <w:ilvl w:val="0"/>
          <w:numId w:val="2"/>
        </w:numPr>
        <w:suppressAutoHyphens/>
        <w:spacing w:line="240" w:lineRule="auto"/>
      </w:pPr>
      <w:r>
        <w:rPr>
          <w:b/>
        </w:rPr>
        <w:t>Informatyka</w:t>
      </w:r>
      <w:r>
        <w:t xml:space="preserve">: </w:t>
      </w:r>
      <w:r>
        <w:rPr>
          <w:b/>
        </w:rPr>
        <w:t>uczeń</w:t>
      </w:r>
      <w:r>
        <w:t xml:space="preserve"> wykorzystuje programy komputerowe, w tym edukacyjne, wspomagające i wzbogacające naukę różnych przedmiotów.</w:t>
      </w:r>
    </w:p>
    <w:p w:rsidR="003C00B9" w:rsidRDefault="003C00B9" w:rsidP="003C00B9">
      <w:pPr>
        <w:pStyle w:val="Nagwek2"/>
        <w:tabs>
          <w:tab w:val="clear" w:pos="0"/>
          <w:tab w:val="num" w:pos="576"/>
        </w:tabs>
        <w:spacing w:line="240" w:lineRule="auto"/>
        <w:jc w:val="both"/>
        <w:rPr>
          <w:rFonts w:cs="Calibri"/>
          <w:b/>
          <w:color w:val="000000"/>
          <w:szCs w:val="16"/>
        </w:rPr>
      </w:pPr>
      <w:r>
        <w:t xml:space="preserve">OSIĄGNIĘCIA UCZNIA: </w:t>
      </w:r>
    </w:p>
    <w:p w:rsidR="003C00B9" w:rsidRDefault="003C00B9" w:rsidP="003C00B9">
      <w:pPr>
        <w:autoSpaceDE w:val="0"/>
        <w:spacing w:line="240" w:lineRule="auto"/>
        <w:rPr>
          <w:rFonts w:cs="Calibri"/>
        </w:rPr>
      </w:pPr>
      <w:r>
        <w:rPr>
          <w:rFonts w:cs="Calibri"/>
          <w:b/>
          <w:color w:val="000000"/>
          <w:szCs w:val="16"/>
        </w:rPr>
        <w:t xml:space="preserve">Uczeń: </w:t>
      </w:r>
    </w:p>
    <w:p w:rsidR="003C00B9" w:rsidRDefault="003C00B9" w:rsidP="003C00B9">
      <w:pPr>
        <w:numPr>
          <w:ilvl w:val="0"/>
          <w:numId w:val="3"/>
        </w:numPr>
        <w:tabs>
          <w:tab w:val="left" w:pos="2160"/>
        </w:tabs>
        <w:suppressAutoHyphens/>
        <w:spacing w:after="0" w:line="240" w:lineRule="auto"/>
        <w:ind w:left="714" w:hanging="357"/>
        <w:rPr>
          <w:rFonts w:cs="Calibri"/>
        </w:rPr>
      </w:pPr>
      <w:r>
        <w:rPr>
          <w:rFonts w:cs="Calibri"/>
        </w:rPr>
        <w:t>umie zdefiniować energię.</w:t>
      </w:r>
    </w:p>
    <w:p w:rsidR="003C00B9" w:rsidRDefault="003C00B9" w:rsidP="003C00B9">
      <w:pPr>
        <w:numPr>
          <w:ilvl w:val="0"/>
          <w:numId w:val="3"/>
        </w:numPr>
        <w:tabs>
          <w:tab w:val="left" w:pos="2160"/>
        </w:tabs>
        <w:suppressAutoHyphens/>
        <w:spacing w:after="0" w:line="240" w:lineRule="auto"/>
        <w:ind w:left="714" w:hanging="357"/>
        <w:rPr>
          <w:rFonts w:cs="Calibri"/>
        </w:rPr>
      </w:pPr>
      <w:r>
        <w:rPr>
          <w:rFonts w:cs="Calibri"/>
        </w:rPr>
        <w:t>zna jednostkę energii.</w:t>
      </w:r>
    </w:p>
    <w:p w:rsidR="003C00B9" w:rsidRDefault="003C00B9" w:rsidP="003C00B9">
      <w:pPr>
        <w:numPr>
          <w:ilvl w:val="0"/>
          <w:numId w:val="3"/>
        </w:numPr>
        <w:tabs>
          <w:tab w:val="left" w:pos="2160"/>
        </w:tabs>
        <w:suppressAutoHyphens/>
        <w:spacing w:after="0" w:line="240" w:lineRule="auto"/>
        <w:ind w:left="714" w:hanging="357"/>
        <w:rPr>
          <w:rFonts w:cs="Calibri"/>
        </w:rPr>
      </w:pPr>
      <w:r>
        <w:rPr>
          <w:rFonts w:cs="Calibri"/>
        </w:rPr>
        <w:t>wie, kiedy ciało zyskuje, a kiedy traci energię.</w:t>
      </w:r>
    </w:p>
    <w:p w:rsidR="003C00B9" w:rsidRDefault="003C00B9" w:rsidP="003C00B9">
      <w:pPr>
        <w:numPr>
          <w:ilvl w:val="0"/>
          <w:numId w:val="3"/>
        </w:numPr>
        <w:tabs>
          <w:tab w:val="left" w:pos="2160"/>
        </w:tabs>
        <w:suppressAutoHyphens/>
        <w:spacing w:after="0" w:line="240" w:lineRule="auto"/>
        <w:ind w:left="714" w:hanging="357"/>
        <w:rPr>
          <w:rFonts w:cs="Calibri"/>
        </w:rPr>
      </w:pPr>
      <w:r>
        <w:rPr>
          <w:rFonts w:cs="Calibri"/>
        </w:rPr>
        <w:t>zna podstawowe rodzaje energii mechanicznej (potencjalną, kinetyczną, sprężystości).</w:t>
      </w:r>
    </w:p>
    <w:p w:rsidR="003C00B9" w:rsidRDefault="003C00B9" w:rsidP="003C00B9">
      <w:pPr>
        <w:numPr>
          <w:ilvl w:val="0"/>
          <w:numId w:val="3"/>
        </w:numPr>
        <w:tabs>
          <w:tab w:val="left" w:pos="2160"/>
        </w:tabs>
        <w:suppressAutoHyphens/>
        <w:spacing w:after="0" w:line="240" w:lineRule="auto"/>
        <w:ind w:left="714" w:hanging="357"/>
        <w:rPr>
          <w:rFonts w:cs="Calibri"/>
        </w:rPr>
      </w:pPr>
      <w:r>
        <w:rPr>
          <w:rFonts w:cs="Calibri"/>
        </w:rPr>
        <w:t>potrafi zdefiniować energię potencjalną.</w:t>
      </w:r>
    </w:p>
    <w:p w:rsidR="003C00B9" w:rsidRDefault="003C00B9" w:rsidP="003C00B9">
      <w:pPr>
        <w:numPr>
          <w:ilvl w:val="0"/>
          <w:numId w:val="3"/>
        </w:numPr>
        <w:tabs>
          <w:tab w:val="left" w:pos="2160"/>
        </w:tabs>
        <w:suppressAutoHyphens/>
        <w:spacing w:after="0" w:line="240" w:lineRule="auto"/>
        <w:ind w:left="714" w:hanging="357"/>
        <w:rPr>
          <w:rFonts w:cs="Calibri"/>
        </w:rPr>
      </w:pPr>
      <w:r>
        <w:rPr>
          <w:rFonts w:cs="Calibri"/>
        </w:rPr>
        <w:t>potrafi podać wzór na energię potencjalną grawitacji.</w:t>
      </w:r>
    </w:p>
    <w:p w:rsidR="003C00B9" w:rsidRDefault="003C00B9" w:rsidP="003C00B9">
      <w:pPr>
        <w:numPr>
          <w:ilvl w:val="0"/>
          <w:numId w:val="3"/>
        </w:numPr>
        <w:tabs>
          <w:tab w:val="left" w:pos="2160"/>
        </w:tabs>
        <w:suppressAutoHyphens/>
        <w:spacing w:after="0" w:line="240" w:lineRule="auto"/>
        <w:ind w:left="714" w:hanging="357"/>
        <w:rPr>
          <w:rFonts w:cs="Calibri"/>
        </w:rPr>
      </w:pPr>
      <w:r>
        <w:rPr>
          <w:rFonts w:cs="Calibri"/>
        </w:rPr>
        <w:t>potrafi zdefiniować energię kinetyczną.</w:t>
      </w:r>
    </w:p>
    <w:p w:rsidR="003C00B9" w:rsidRDefault="003C00B9" w:rsidP="003C00B9">
      <w:pPr>
        <w:numPr>
          <w:ilvl w:val="0"/>
          <w:numId w:val="3"/>
        </w:numPr>
        <w:tabs>
          <w:tab w:val="left" w:pos="2160"/>
        </w:tabs>
        <w:suppressAutoHyphens/>
        <w:spacing w:after="0" w:line="240" w:lineRule="auto"/>
        <w:ind w:left="714" w:hanging="357"/>
        <w:rPr>
          <w:rFonts w:cs="Calibri"/>
        </w:rPr>
      </w:pPr>
      <w:r>
        <w:rPr>
          <w:rFonts w:cs="Calibri"/>
        </w:rPr>
        <w:t>potrafi podać wzór na energię kinetyczną.</w:t>
      </w:r>
    </w:p>
    <w:p w:rsidR="003C00B9" w:rsidRDefault="003C00B9" w:rsidP="003C00B9">
      <w:pPr>
        <w:numPr>
          <w:ilvl w:val="0"/>
          <w:numId w:val="3"/>
        </w:numPr>
        <w:tabs>
          <w:tab w:val="left" w:pos="2160"/>
        </w:tabs>
        <w:suppressAutoHyphens/>
        <w:spacing w:after="0" w:line="240" w:lineRule="auto"/>
        <w:ind w:left="714" w:hanging="357"/>
      </w:pPr>
      <w:r>
        <w:rPr>
          <w:rFonts w:cs="Calibri"/>
        </w:rPr>
        <w:t>potrafi zdefiniować energię sprężystości.</w:t>
      </w:r>
    </w:p>
    <w:p w:rsidR="003C00B9" w:rsidRDefault="003C00B9" w:rsidP="003C00B9">
      <w:pPr>
        <w:pStyle w:val="Nagwek2"/>
        <w:tabs>
          <w:tab w:val="clear" w:pos="0"/>
          <w:tab w:val="num" w:pos="576"/>
        </w:tabs>
        <w:spacing w:line="240" w:lineRule="auto"/>
        <w:jc w:val="both"/>
        <w:rPr>
          <w:b/>
        </w:rPr>
      </w:pPr>
      <w:r>
        <w:t xml:space="preserve">Nabywane umiejętności: </w:t>
      </w:r>
    </w:p>
    <w:p w:rsidR="003C00B9" w:rsidRDefault="003C00B9" w:rsidP="003C00B9">
      <w:pPr>
        <w:spacing w:line="240" w:lineRule="auto"/>
      </w:pPr>
      <w:r>
        <w:rPr>
          <w:b/>
        </w:rPr>
        <w:t>Uczeń:</w:t>
      </w:r>
    </w:p>
    <w:p w:rsidR="003C00B9" w:rsidRDefault="003C00B9" w:rsidP="003C00B9">
      <w:pPr>
        <w:numPr>
          <w:ilvl w:val="0"/>
          <w:numId w:val="5"/>
        </w:numPr>
        <w:tabs>
          <w:tab w:val="left" w:pos="720"/>
        </w:tabs>
        <w:suppressAutoHyphens/>
        <w:spacing w:after="0" w:line="240" w:lineRule="auto"/>
        <w:ind w:left="714" w:hanging="357"/>
      </w:pPr>
      <w:r>
        <w:lastRenderedPageBreak/>
        <w:t>Wie, że w ruchu bez tarcia całkowita energia mechaniczna ciała jest zachowana</w:t>
      </w:r>
    </w:p>
    <w:p w:rsidR="003C00B9" w:rsidRDefault="003C00B9" w:rsidP="003C00B9">
      <w:pPr>
        <w:numPr>
          <w:ilvl w:val="0"/>
          <w:numId w:val="5"/>
        </w:numPr>
        <w:tabs>
          <w:tab w:val="left" w:pos="720"/>
        </w:tabs>
        <w:suppressAutoHyphens/>
        <w:spacing w:after="0" w:line="240" w:lineRule="auto"/>
        <w:ind w:left="714" w:hanging="357"/>
      </w:pPr>
      <w:r>
        <w:t>Stosuje ten fakt w prostych zadaniach rachunkowych</w:t>
      </w:r>
    </w:p>
    <w:p w:rsidR="003C00B9" w:rsidRDefault="003C00B9" w:rsidP="003C00B9">
      <w:pPr>
        <w:numPr>
          <w:ilvl w:val="0"/>
          <w:numId w:val="5"/>
        </w:numPr>
        <w:tabs>
          <w:tab w:val="left" w:pos="720"/>
        </w:tabs>
        <w:suppressAutoHyphens/>
        <w:spacing w:after="0" w:line="240" w:lineRule="auto"/>
        <w:ind w:left="714" w:hanging="357"/>
      </w:pPr>
      <w:r>
        <w:t>Rozwiązuje trudniejsze zadania związane z przemianami energii potencjalnej grawitacji i energii kinetycznej</w:t>
      </w:r>
    </w:p>
    <w:p w:rsidR="003C00B9" w:rsidRDefault="003C00B9" w:rsidP="003C00B9">
      <w:pPr>
        <w:numPr>
          <w:ilvl w:val="0"/>
          <w:numId w:val="5"/>
        </w:numPr>
        <w:tabs>
          <w:tab w:val="left" w:pos="720"/>
        </w:tabs>
        <w:suppressAutoHyphens/>
        <w:spacing w:after="0" w:line="240" w:lineRule="auto"/>
        <w:ind w:left="714" w:hanging="357"/>
      </w:pPr>
      <w:r>
        <w:t>nabywa umiejętności samodzielnej pracy, obserwacji zjawisk fizycznych, stawiania pytań i poszukiwania odpowiedzi na nie.</w:t>
      </w:r>
    </w:p>
    <w:p w:rsidR="003C00B9" w:rsidRDefault="003C00B9" w:rsidP="003C00B9">
      <w:pPr>
        <w:numPr>
          <w:ilvl w:val="0"/>
          <w:numId w:val="4"/>
        </w:numPr>
        <w:suppressAutoHyphens/>
        <w:spacing w:after="0" w:line="240" w:lineRule="auto"/>
        <w:ind w:left="714" w:hanging="357"/>
      </w:pPr>
      <w:r>
        <w:t>potrafi zainstalować program użytkowy i znaleźć instrukcje dotyczące jego obsługi.</w:t>
      </w:r>
    </w:p>
    <w:p w:rsidR="003C00B9" w:rsidRDefault="003C00B9" w:rsidP="003C00B9">
      <w:pPr>
        <w:spacing w:line="240" w:lineRule="auto"/>
      </w:pPr>
    </w:p>
    <w:tbl>
      <w:tblPr>
        <w:tblW w:w="0" w:type="auto"/>
        <w:tblInd w:w="-2" w:type="dxa"/>
        <w:tblLayout w:type="fixed"/>
        <w:tblCellMar>
          <w:top w:w="170" w:type="dxa"/>
          <w:bottom w:w="170" w:type="dxa"/>
        </w:tblCellMar>
        <w:tblLook w:val="0000"/>
      </w:tblPr>
      <w:tblGrid>
        <w:gridCol w:w="1033"/>
        <w:gridCol w:w="1244"/>
        <w:gridCol w:w="2181"/>
        <w:gridCol w:w="3012"/>
        <w:gridCol w:w="1823"/>
        <w:gridCol w:w="1587"/>
        <w:gridCol w:w="1473"/>
      </w:tblGrid>
      <w:tr w:rsidR="003C00B9" w:rsidTr="00106B1F">
        <w:trPr>
          <w:trHeight w:val="115"/>
        </w:trPr>
        <w:tc>
          <w:tcPr>
            <w:tcW w:w="1033"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rPr>
                <w:rStyle w:val="Pogrubienie"/>
              </w:rPr>
              <w:t>Etapy lekcji</w:t>
            </w:r>
          </w:p>
        </w:tc>
        <w:tc>
          <w:tcPr>
            <w:tcW w:w="1244"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rPr>
                <w:rStyle w:val="Pogrubienie"/>
              </w:rPr>
              <w:t>Przedmiot nauczania</w:t>
            </w:r>
          </w:p>
          <w:p w:rsidR="003C00B9" w:rsidRDefault="003C00B9" w:rsidP="00106B1F">
            <w:pPr>
              <w:spacing w:line="240" w:lineRule="auto"/>
            </w:pPr>
          </w:p>
        </w:tc>
        <w:tc>
          <w:tcPr>
            <w:tcW w:w="2181"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rPr>
                <w:rStyle w:val="Pogrubienie"/>
              </w:rPr>
              <w:t>Kompetencje kluczowe</w:t>
            </w:r>
          </w:p>
          <w:p w:rsidR="003C00B9" w:rsidRDefault="003C00B9" w:rsidP="00106B1F">
            <w:pPr>
              <w:spacing w:line="240" w:lineRule="auto"/>
            </w:pPr>
          </w:p>
        </w:tc>
        <w:tc>
          <w:tcPr>
            <w:tcW w:w="3012"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rPr>
                <w:rStyle w:val="Pogrubienie"/>
              </w:rPr>
              <w:t>Przebieg zajęć</w:t>
            </w:r>
          </w:p>
        </w:tc>
        <w:tc>
          <w:tcPr>
            <w:tcW w:w="1823"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rPr>
                <w:rStyle w:val="Pogrubienie"/>
              </w:rPr>
              <w:t>Środki dydaktyczne</w:t>
            </w:r>
          </w:p>
          <w:p w:rsidR="003C00B9" w:rsidRDefault="003C00B9" w:rsidP="00106B1F">
            <w:pPr>
              <w:spacing w:line="240" w:lineRule="auto"/>
            </w:pPr>
          </w:p>
        </w:tc>
        <w:tc>
          <w:tcPr>
            <w:tcW w:w="1587"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rPr>
                <w:rStyle w:val="Pogrubienie"/>
              </w:rPr>
              <w:t>Metody nauczania</w:t>
            </w:r>
          </w:p>
          <w:p w:rsidR="003C00B9" w:rsidRDefault="003C00B9" w:rsidP="00106B1F">
            <w:pPr>
              <w:spacing w:line="240" w:lineRule="auto"/>
            </w:pPr>
          </w:p>
        </w:tc>
        <w:tc>
          <w:tcPr>
            <w:tcW w:w="1473" w:type="dxa"/>
            <w:tcBorders>
              <w:top w:val="single" w:sz="1" w:space="0" w:color="C0C0C0"/>
              <w:left w:val="single" w:sz="1" w:space="0" w:color="C0C0C0"/>
              <w:bottom w:val="single" w:sz="1" w:space="0" w:color="C0C0C0"/>
              <w:right w:val="single" w:sz="1" w:space="0" w:color="C0C0C0"/>
            </w:tcBorders>
            <w:shd w:val="clear" w:color="auto" w:fill="auto"/>
          </w:tcPr>
          <w:p w:rsidR="003C00B9" w:rsidRDefault="003C00B9" w:rsidP="00106B1F">
            <w:pPr>
              <w:spacing w:line="240" w:lineRule="auto"/>
            </w:pPr>
            <w:r>
              <w:rPr>
                <w:rStyle w:val="Pogrubienie"/>
              </w:rPr>
              <w:t>Formy pracy</w:t>
            </w:r>
          </w:p>
          <w:p w:rsidR="003C00B9" w:rsidRDefault="003C00B9" w:rsidP="00106B1F">
            <w:pPr>
              <w:spacing w:line="240" w:lineRule="auto"/>
            </w:pPr>
          </w:p>
        </w:tc>
      </w:tr>
      <w:tr w:rsidR="003C00B9" w:rsidTr="00106B1F">
        <w:trPr>
          <w:trHeight w:val="115"/>
        </w:trPr>
        <w:tc>
          <w:tcPr>
            <w:tcW w:w="1033" w:type="dxa"/>
            <w:tcBorders>
              <w:top w:val="single" w:sz="1" w:space="0" w:color="C0C0C0"/>
              <w:left w:val="single" w:sz="1" w:space="0" w:color="C0C0C0"/>
              <w:bottom w:val="single" w:sz="1" w:space="0" w:color="C0C0C0"/>
            </w:tcBorders>
            <w:shd w:val="clear" w:color="auto" w:fill="auto"/>
            <w:vAlign w:val="center"/>
          </w:tcPr>
          <w:p w:rsidR="003C00B9" w:rsidRDefault="003C00B9" w:rsidP="00106B1F">
            <w:pPr>
              <w:spacing w:line="240" w:lineRule="auto"/>
            </w:pPr>
            <w:r>
              <w:t>Etap wstępny</w:t>
            </w:r>
          </w:p>
        </w:tc>
        <w:tc>
          <w:tcPr>
            <w:tcW w:w="1244"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t>Fizyka</w:t>
            </w:r>
          </w:p>
        </w:tc>
        <w:tc>
          <w:tcPr>
            <w:tcW w:w="2181"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t>Porozumiewanie się w języku ojczystym; myślenie matematyczne i podstawowe kompetencje naukowo-techniczne; umiejętność uczenia się</w:t>
            </w:r>
          </w:p>
        </w:tc>
        <w:tc>
          <w:tcPr>
            <w:tcW w:w="3012"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rPr>
                <w:color w:val="000000"/>
              </w:rPr>
            </w:pPr>
            <w:r>
              <w:t>Nauczyciel prosi uczniów, aby odpowiedzieli na kilka pytań, moderuje krótką dyskusję:</w:t>
            </w:r>
          </w:p>
          <w:p w:rsidR="003C00B9" w:rsidRDefault="003C00B9" w:rsidP="00106B1F">
            <w:pPr>
              <w:spacing w:line="240" w:lineRule="auto"/>
            </w:pPr>
            <w:r>
              <w:rPr>
                <w:color w:val="000000"/>
              </w:rPr>
              <w:t xml:space="preserve">- </w:t>
            </w:r>
            <w:r>
              <w:t>Co już wiecie na temat energii, jakie znacie jej rodzaje?</w:t>
            </w:r>
          </w:p>
          <w:p w:rsidR="003C00B9" w:rsidRDefault="003C00B9" w:rsidP="00106B1F">
            <w:pPr>
              <w:spacing w:line="240" w:lineRule="auto"/>
            </w:pPr>
            <w:r>
              <w:t>- Czy spotkaliście się gdzieś z wykorzystaniem energii?</w:t>
            </w:r>
          </w:p>
          <w:p w:rsidR="003C00B9" w:rsidRPr="00D31C40" w:rsidRDefault="003C00B9" w:rsidP="00106B1F">
            <w:pPr>
              <w:spacing w:line="240" w:lineRule="auto"/>
              <w:rPr>
                <w:color w:val="000000"/>
              </w:rPr>
            </w:pPr>
            <w:r>
              <w:t>- Czy energia wiąże się z pracą?</w:t>
            </w:r>
          </w:p>
        </w:tc>
        <w:tc>
          <w:tcPr>
            <w:tcW w:w="1823"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t>Dyskusja</w:t>
            </w:r>
          </w:p>
        </w:tc>
        <w:tc>
          <w:tcPr>
            <w:tcW w:w="1587"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t>Problemowa: aktywizująca</w:t>
            </w:r>
          </w:p>
        </w:tc>
        <w:tc>
          <w:tcPr>
            <w:tcW w:w="1473" w:type="dxa"/>
            <w:tcBorders>
              <w:top w:val="single" w:sz="1" w:space="0" w:color="C0C0C0"/>
              <w:left w:val="single" w:sz="1" w:space="0" w:color="C0C0C0"/>
              <w:bottom w:val="single" w:sz="1" w:space="0" w:color="C0C0C0"/>
              <w:right w:val="single" w:sz="1" w:space="0" w:color="C0C0C0"/>
            </w:tcBorders>
            <w:shd w:val="clear" w:color="auto" w:fill="auto"/>
          </w:tcPr>
          <w:p w:rsidR="003C00B9" w:rsidRDefault="003C00B9" w:rsidP="00106B1F">
            <w:pPr>
              <w:spacing w:line="240" w:lineRule="auto"/>
            </w:pPr>
            <w:r>
              <w:t>Zbiorowa, jednolita</w:t>
            </w:r>
          </w:p>
        </w:tc>
      </w:tr>
      <w:tr w:rsidR="003C00B9" w:rsidTr="00106B1F">
        <w:trPr>
          <w:trHeight w:val="115"/>
        </w:trPr>
        <w:tc>
          <w:tcPr>
            <w:tcW w:w="1033" w:type="dxa"/>
            <w:vMerge w:val="restart"/>
            <w:tcBorders>
              <w:top w:val="single" w:sz="1" w:space="0" w:color="C0C0C0"/>
              <w:left w:val="single" w:sz="1" w:space="0" w:color="C0C0C0"/>
              <w:bottom w:val="single" w:sz="1" w:space="0" w:color="C0C0C0"/>
            </w:tcBorders>
            <w:shd w:val="clear" w:color="auto" w:fill="auto"/>
            <w:vAlign w:val="center"/>
          </w:tcPr>
          <w:p w:rsidR="003C00B9" w:rsidRDefault="003C00B9" w:rsidP="00106B1F">
            <w:pPr>
              <w:spacing w:line="240" w:lineRule="auto"/>
            </w:pPr>
            <w:r>
              <w:t>Etap realizacji</w:t>
            </w:r>
          </w:p>
        </w:tc>
        <w:tc>
          <w:tcPr>
            <w:tcW w:w="1244"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t>Fizyka</w:t>
            </w:r>
          </w:p>
        </w:tc>
        <w:tc>
          <w:tcPr>
            <w:tcW w:w="2181"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t xml:space="preserve">Porozumiewanie się w języku ojczystym; myślenie matematyczne i podstawowe kompetencje </w:t>
            </w:r>
            <w:r>
              <w:lastRenderedPageBreak/>
              <w:t>naukowo-techniczne; umiejętność uczenia się</w:t>
            </w:r>
          </w:p>
        </w:tc>
        <w:tc>
          <w:tcPr>
            <w:tcW w:w="3012"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lastRenderedPageBreak/>
              <w:t xml:space="preserve">Przypomnienie wiadomości na temat pojęcia pracy (iloczynu wartości siły i przesunięcia), jednostki pracy (1 J), pojęcia  mocy (ilorazu pracy i czasu), </w:t>
            </w:r>
            <w:r>
              <w:lastRenderedPageBreak/>
              <w:t>jednostki mocy (1 W).</w:t>
            </w:r>
          </w:p>
        </w:tc>
        <w:tc>
          <w:tcPr>
            <w:tcW w:w="1823"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lastRenderedPageBreak/>
              <w:t>Notatki z poprzednich zajęć</w:t>
            </w:r>
          </w:p>
        </w:tc>
        <w:tc>
          <w:tcPr>
            <w:tcW w:w="1587"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t>Podająca: wykład informacyjny</w:t>
            </w:r>
          </w:p>
        </w:tc>
        <w:tc>
          <w:tcPr>
            <w:tcW w:w="1473" w:type="dxa"/>
            <w:tcBorders>
              <w:top w:val="single" w:sz="1" w:space="0" w:color="C0C0C0"/>
              <w:left w:val="single" w:sz="1" w:space="0" w:color="C0C0C0"/>
              <w:bottom w:val="single" w:sz="1" w:space="0" w:color="C0C0C0"/>
              <w:right w:val="single" w:sz="1" w:space="0" w:color="C0C0C0"/>
            </w:tcBorders>
            <w:shd w:val="clear" w:color="auto" w:fill="auto"/>
          </w:tcPr>
          <w:p w:rsidR="003C00B9" w:rsidRDefault="003C00B9" w:rsidP="00106B1F">
            <w:pPr>
              <w:spacing w:line="240" w:lineRule="auto"/>
            </w:pPr>
            <w:r>
              <w:t>Zbiorowa, jednolita</w:t>
            </w:r>
          </w:p>
        </w:tc>
      </w:tr>
      <w:tr w:rsidR="003C00B9" w:rsidTr="00106B1F">
        <w:trPr>
          <w:trHeight w:val="115"/>
        </w:trPr>
        <w:tc>
          <w:tcPr>
            <w:tcW w:w="1033" w:type="dxa"/>
            <w:vMerge/>
            <w:tcBorders>
              <w:top w:val="single" w:sz="1" w:space="0" w:color="C0C0C0"/>
              <w:left w:val="single" w:sz="1" w:space="0" w:color="C0C0C0"/>
              <w:bottom w:val="single" w:sz="1" w:space="0" w:color="C0C0C0"/>
            </w:tcBorders>
            <w:shd w:val="clear" w:color="auto" w:fill="auto"/>
            <w:vAlign w:val="center"/>
          </w:tcPr>
          <w:p w:rsidR="003C00B9" w:rsidRDefault="003C00B9" w:rsidP="00106B1F">
            <w:pPr>
              <w:snapToGrid w:val="0"/>
              <w:spacing w:line="240" w:lineRule="auto"/>
            </w:pPr>
          </w:p>
        </w:tc>
        <w:tc>
          <w:tcPr>
            <w:tcW w:w="1244"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t>Fizyka</w:t>
            </w:r>
          </w:p>
        </w:tc>
        <w:tc>
          <w:tcPr>
            <w:tcW w:w="2181"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t>Myślenie matematyczne i podstawowe kompetencje naukowo-techniczne; umiejętność uczenia się</w:t>
            </w:r>
          </w:p>
        </w:tc>
        <w:tc>
          <w:tcPr>
            <w:tcW w:w="3012"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t xml:space="preserve">Nauczyciel z pomocą ucznia uruchamia komputer, wgrywa film z pamięci typy </w:t>
            </w:r>
            <w:proofErr w:type="spellStart"/>
            <w:r>
              <w:t>Flash</w:t>
            </w:r>
            <w:proofErr w:type="spellEnd"/>
            <w:r>
              <w:t xml:space="preserve">, uruchamia program odtwarzający filmy, odtwarza cały film przedstawiający przykłady obrazujące energię potencjalną, kinetyczną oraz energię sprężystości. </w:t>
            </w:r>
          </w:p>
          <w:p w:rsidR="003C00B9" w:rsidRDefault="003C00B9" w:rsidP="00106B1F">
            <w:pPr>
              <w:spacing w:line="240" w:lineRule="auto"/>
            </w:pPr>
            <w:r>
              <w:t xml:space="preserve">Nauczyciel odtwarza ponownie film, lecz teraz prosi wybranego (chętnego) ucznia, aby zatrzymywał film we właściwych momentach. Po zatrzymaniu filmu nauczyciel moderuje krótką dyskusję oraz prosi uczniów, aby zapisywali wyniki swoich obserwacji dotyczących doświadczeń poznanych  w danym fragmencie filmu. </w:t>
            </w:r>
          </w:p>
          <w:p w:rsidR="003C00B9" w:rsidRDefault="003C00B9" w:rsidP="00106B1F">
            <w:pPr>
              <w:spacing w:line="240" w:lineRule="auto"/>
            </w:pPr>
            <w:r>
              <w:t>Uczniowie zapisują swoje spostrzeżenia na karcie pracy.</w:t>
            </w:r>
          </w:p>
          <w:p w:rsidR="003C00B9" w:rsidRDefault="003C00B9" w:rsidP="00106B1F">
            <w:pPr>
              <w:spacing w:line="240" w:lineRule="auto"/>
            </w:pPr>
            <w:r>
              <w:t xml:space="preserve">Uczeń na polecenie nauczyciela wznawia </w:t>
            </w:r>
            <w:r>
              <w:lastRenderedPageBreak/>
              <w:t>odtwarzanie filmu, aż do kolejnego momentu jego zatrzymania, ponownie moderuje krótką dyskusję oraz prosi uczniów, aby zapisywali wyniki swoich obserwacji. Cykl się powtarza, aż do zakończenia projekcji filmu.</w:t>
            </w:r>
          </w:p>
          <w:p w:rsidR="003C00B9" w:rsidRDefault="003C00B9" w:rsidP="00106B1F">
            <w:pPr>
              <w:spacing w:line="240" w:lineRule="auto"/>
            </w:pPr>
            <w:r>
              <w:t>Uwaga.</w:t>
            </w:r>
          </w:p>
          <w:p w:rsidR="003C00B9" w:rsidRDefault="003C00B9" w:rsidP="00106B1F">
            <w:pPr>
              <w:spacing w:line="240" w:lineRule="auto"/>
            </w:pPr>
            <w:r>
              <w:t>Nauczyciel w trakcie drugiego odtworzenia filmu zaprasza kolejnych uczniów do sterowania odtwarzaniem filmu.</w:t>
            </w:r>
          </w:p>
        </w:tc>
        <w:tc>
          <w:tcPr>
            <w:tcW w:w="1823"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lastRenderedPageBreak/>
              <w:t xml:space="preserve">Film „Różne twarze energii”, film wykorzystany ze strony </w:t>
            </w:r>
            <w:hyperlink r:id="rId5" w:history="1">
              <w:r w:rsidRPr="0021476B">
                <w:rPr>
                  <w:rStyle w:val="Hipercze"/>
                </w:rPr>
                <w:t>www.scholaris.pl</w:t>
              </w:r>
            </w:hyperlink>
            <w:r>
              <w:t xml:space="preserve"> </w:t>
            </w:r>
          </w:p>
          <w:p w:rsidR="003C00B9" w:rsidRDefault="003C00B9" w:rsidP="00106B1F">
            <w:pPr>
              <w:spacing w:line="240" w:lineRule="auto"/>
            </w:pPr>
          </w:p>
          <w:p w:rsidR="003C00B9" w:rsidRDefault="003C00B9" w:rsidP="00106B1F">
            <w:pPr>
              <w:spacing w:line="240" w:lineRule="auto"/>
            </w:pPr>
            <w:r>
              <w:t xml:space="preserve">Załącznik 2 (karta pracy) wykorzystany ze strony </w:t>
            </w:r>
            <w:hyperlink r:id="rId6" w:history="1">
              <w:r w:rsidRPr="0021476B">
                <w:rPr>
                  <w:rStyle w:val="Hipercze"/>
                </w:rPr>
                <w:t>www.scholaris.pl</w:t>
              </w:r>
            </w:hyperlink>
          </w:p>
          <w:p w:rsidR="003C00B9" w:rsidRDefault="003C00B9" w:rsidP="00106B1F">
            <w:pPr>
              <w:spacing w:line="240" w:lineRule="auto"/>
            </w:pPr>
            <w:r>
              <w:t xml:space="preserve"> </w:t>
            </w:r>
          </w:p>
        </w:tc>
        <w:tc>
          <w:tcPr>
            <w:tcW w:w="1587"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rPr>
                <w:shd w:val="clear" w:color="auto" w:fill="FFFF00"/>
              </w:rPr>
            </w:pPr>
            <w:r>
              <w:t>Podająca: film</w:t>
            </w:r>
          </w:p>
          <w:p w:rsidR="003C00B9" w:rsidRDefault="003C00B9" w:rsidP="00106B1F">
            <w:pPr>
              <w:spacing w:line="240" w:lineRule="auto"/>
              <w:rPr>
                <w:shd w:val="clear" w:color="auto" w:fill="FFFF00"/>
              </w:rPr>
            </w:pPr>
          </w:p>
        </w:tc>
        <w:tc>
          <w:tcPr>
            <w:tcW w:w="1473" w:type="dxa"/>
            <w:tcBorders>
              <w:top w:val="single" w:sz="1" w:space="0" w:color="C0C0C0"/>
              <w:left w:val="single" w:sz="1" w:space="0" w:color="C0C0C0"/>
              <w:bottom w:val="single" w:sz="1" w:space="0" w:color="C0C0C0"/>
              <w:right w:val="single" w:sz="1" w:space="0" w:color="C0C0C0"/>
            </w:tcBorders>
            <w:shd w:val="clear" w:color="auto" w:fill="auto"/>
          </w:tcPr>
          <w:p w:rsidR="003C00B9" w:rsidRDefault="003C00B9" w:rsidP="00106B1F">
            <w:pPr>
              <w:spacing w:line="240" w:lineRule="auto"/>
            </w:pPr>
            <w:r>
              <w:t>Zbiorowa, jednolita</w:t>
            </w:r>
          </w:p>
        </w:tc>
      </w:tr>
      <w:tr w:rsidR="003C00B9" w:rsidTr="00106B1F">
        <w:trPr>
          <w:trHeight w:val="115"/>
        </w:trPr>
        <w:tc>
          <w:tcPr>
            <w:tcW w:w="1033" w:type="dxa"/>
            <w:vMerge/>
            <w:tcBorders>
              <w:top w:val="single" w:sz="1" w:space="0" w:color="C0C0C0"/>
              <w:left w:val="single" w:sz="1" w:space="0" w:color="C0C0C0"/>
              <w:bottom w:val="single" w:sz="1" w:space="0" w:color="C0C0C0"/>
            </w:tcBorders>
            <w:shd w:val="clear" w:color="auto" w:fill="auto"/>
            <w:vAlign w:val="center"/>
          </w:tcPr>
          <w:p w:rsidR="003C00B9" w:rsidRDefault="003C00B9" w:rsidP="00106B1F">
            <w:pPr>
              <w:snapToGrid w:val="0"/>
              <w:spacing w:line="240" w:lineRule="auto"/>
            </w:pPr>
          </w:p>
        </w:tc>
        <w:tc>
          <w:tcPr>
            <w:tcW w:w="1244"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t>Fizyka</w:t>
            </w:r>
          </w:p>
        </w:tc>
        <w:tc>
          <w:tcPr>
            <w:tcW w:w="2181"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t>Porozumiewanie się w języku ojczystym; umiejętność uczenia się; świadomość i ekspresja kulturalna</w:t>
            </w:r>
          </w:p>
        </w:tc>
        <w:tc>
          <w:tcPr>
            <w:tcW w:w="3012"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t>Nauczyciel odtwarza prezentację multimedialną, będącą rozwinięciem wcześniej prezentowanego filmu.</w:t>
            </w:r>
          </w:p>
          <w:p w:rsidR="003C00B9" w:rsidRDefault="003C00B9" w:rsidP="00106B1F">
            <w:pPr>
              <w:spacing w:line="240" w:lineRule="auto"/>
            </w:pPr>
            <w:r>
              <w:t>Uczniowie po zakończonej prezentacji:</w:t>
            </w:r>
            <w:r>
              <w:br/>
            </w:r>
          </w:p>
          <w:p w:rsidR="003C00B9" w:rsidRDefault="003C00B9" w:rsidP="00106B1F">
            <w:pPr>
              <w:spacing w:line="240" w:lineRule="auto"/>
            </w:pPr>
            <w:r>
              <w:t>1. zapisują poznane wzory na energię potencjalną,  kinetyczną.</w:t>
            </w:r>
          </w:p>
          <w:p w:rsidR="003C00B9" w:rsidRDefault="003C00B9" w:rsidP="00106B1F">
            <w:pPr>
              <w:spacing w:line="240" w:lineRule="auto"/>
            </w:pPr>
            <w:r>
              <w:t xml:space="preserve">2. sprawdzają, czy zapisane w </w:t>
            </w:r>
            <w:r>
              <w:lastRenderedPageBreak/>
              <w:t>karcie pracy zależności zgadzają się z poznanymi  wzorami.</w:t>
            </w:r>
          </w:p>
        </w:tc>
        <w:tc>
          <w:tcPr>
            <w:tcW w:w="1823"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lastRenderedPageBreak/>
              <w:t xml:space="preserve">Prezentacja multimedialna  „Energia mechaniczna we wzorach” prezentacja wykorzystana ze strony </w:t>
            </w:r>
            <w:hyperlink r:id="rId7" w:history="1">
              <w:r w:rsidRPr="0021476B">
                <w:rPr>
                  <w:rStyle w:val="Hipercze"/>
                </w:rPr>
                <w:t>www.scholaris.pl</w:t>
              </w:r>
            </w:hyperlink>
          </w:p>
          <w:p w:rsidR="003C00B9" w:rsidRDefault="003C00B9" w:rsidP="00106B1F">
            <w:pPr>
              <w:spacing w:line="240" w:lineRule="auto"/>
            </w:pPr>
          </w:p>
          <w:p w:rsidR="003C00B9" w:rsidRDefault="003C00B9" w:rsidP="00106B1F">
            <w:pPr>
              <w:spacing w:line="240" w:lineRule="auto"/>
            </w:pPr>
          </w:p>
        </w:tc>
        <w:tc>
          <w:tcPr>
            <w:tcW w:w="1587"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t>Eksponująca: pokaz połączony z przeżyciem</w:t>
            </w:r>
          </w:p>
        </w:tc>
        <w:tc>
          <w:tcPr>
            <w:tcW w:w="1473" w:type="dxa"/>
            <w:tcBorders>
              <w:top w:val="single" w:sz="1" w:space="0" w:color="C0C0C0"/>
              <w:left w:val="single" w:sz="1" w:space="0" w:color="C0C0C0"/>
              <w:bottom w:val="single" w:sz="1" w:space="0" w:color="C0C0C0"/>
              <w:right w:val="single" w:sz="1" w:space="0" w:color="C0C0C0"/>
            </w:tcBorders>
            <w:shd w:val="clear" w:color="auto" w:fill="auto"/>
          </w:tcPr>
          <w:p w:rsidR="003C00B9" w:rsidRDefault="003C00B9" w:rsidP="00106B1F">
            <w:pPr>
              <w:spacing w:line="240" w:lineRule="auto"/>
            </w:pPr>
            <w:r>
              <w:t>Zbiorowa, jednolita</w:t>
            </w:r>
          </w:p>
        </w:tc>
      </w:tr>
      <w:tr w:rsidR="003C00B9" w:rsidTr="00106B1F">
        <w:trPr>
          <w:trHeight w:val="115"/>
        </w:trPr>
        <w:tc>
          <w:tcPr>
            <w:tcW w:w="1033" w:type="dxa"/>
            <w:tcBorders>
              <w:top w:val="single" w:sz="1" w:space="0" w:color="C0C0C0"/>
              <w:left w:val="single" w:sz="1" w:space="0" w:color="C0C0C0"/>
              <w:bottom w:val="single" w:sz="1" w:space="0" w:color="C0C0C0"/>
            </w:tcBorders>
            <w:shd w:val="clear" w:color="auto" w:fill="auto"/>
            <w:vAlign w:val="center"/>
          </w:tcPr>
          <w:p w:rsidR="003C00B9" w:rsidRDefault="003C00B9" w:rsidP="00106B1F">
            <w:pPr>
              <w:spacing w:line="240" w:lineRule="auto"/>
            </w:pPr>
            <w:r>
              <w:lastRenderedPageBreak/>
              <w:t>Etap końcowy</w:t>
            </w:r>
          </w:p>
        </w:tc>
        <w:tc>
          <w:tcPr>
            <w:tcW w:w="1244"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t>Fizyka</w:t>
            </w:r>
          </w:p>
        </w:tc>
        <w:tc>
          <w:tcPr>
            <w:tcW w:w="2181"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t>Myślenie matematyczne i podstawowe kompetencje naukowo-techniczne; umiejętność uczenia się</w:t>
            </w:r>
          </w:p>
        </w:tc>
        <w:tc>
          <w:tcPr>
            <w:tcW w:w="3012"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t>Podsumowanie lekcji. Omówienie wpisów w kartach pracy.  Wyjaśnienie niespójności oraz błędów w zapisach.  Nauczyciel podsumowuje poznane własności energii mechanicznej. Przypomina, od czego zależy energia potencjalna, energia kinetyczna oraz energia sprężystości.</w:t>
            </w:r>
          </w:p>
          <w:p w:rsidR="003C00B9" w:rsidRDefault="003C00B9" w:rsidP="00106B1F">
            <w:pPr>
              <w:spacing w:line="240" w:lineRule="auto"/>
            </w:pPr>
          </w:p>
        </w:tc>
        <w:tc>
          <w:tcPr>
            <w:tcW w:w="1823"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t xml:space="preserve">Załącznik nr 2 (karta pracy) wykorzystany ze strony </w:t>
            </w:r>
            <w:hyperlink r:id="rId8" w:history="1">
              <w:r w:rsidRPr="0021476B">
                <w:rPr>
                  <w:rStyle w:val="Hipercze"/>
                </w:rPr>
                <w:t>www.scholaris.pl</w:t>
              </w:r>
            </w:hyperlink>
          </w:p>
        </w:tc>
        <w:tc>
          <w:tcPr>
            <w:tcW w:w="1587" w:type="dxa"/>
            <w:tcBorders>
              <w:top w:val="single" w:sz="1" w:space="0" w:color="C0C0C0"/>
              <w:left w:val="single" w:sz="1" w:space="0" w:color="C0C0C0"/>
              <w:bottom w:val="single" w:sz="1" w:space="0" w:color="C0C0C0"/>
            </w:tcBorders>
            <w:shd w:val="clear" w:color="auto" w:fill="auto"/>
          </w:tcPr>
          <w:p w:rsidR="003C00B9" w:rsidRDefault="003C00B9" w:rsidP="00106B1F">
            <w:pPr>
              <w:spacing w:line="240" w:lineRule="auto"/>
            </w:pPr>
            <w:r>
              <w:t>Podająca: pogadanka</w:t>
            </w:r>
          </w:p>
        </w:tc>
        <w:tc>
          <w:tcPr>
            <w:tcW w:w="1473" w:type="dxa"/>
            <w:tcBorders>
              <w:top w:val="single" w:sz="1" w:space="0" w:color="C0C0C0"/>
              <w:left w:val="single" w:sz="1" w:space="0" w:color="C0C0C0"/>
              <w:bottom w:val="single" w:sz="1" w:space="0" w:color="C0C0C0"/>
              <w:right w:val="single" w:sz="1" w:space="0" w:color="C0C0C0"/>
            </w:tcBorders>
            <w:shd w:val="clear" w:color="auto" w:fill="auto"/>
          </w:tcPr>
          <w:p w:rsidR="003C00B9" w:rsidRDefault="003C00B9" w:rsidP="00106B1F">
            <w:pPr>
              <w:spacing w:line="240" w:lineRule="auto"/>
              <w:rPr>
                <w:b/>
              </w:rPr>
            </w:pPr>
            <w:r>
              <w:t>Zbiorowa, jednolita</w:t>
            </w:r>
          </w:p>
        </w:tc>
      </w:tr>
    </w:tbl>
    <w:p w:rsidR="003C00B9" w:rsidRDefault="003C00B9" w:rsidP="003C00B9">
      <w:pPr>
        <w:spacing w:line="240" w:lineRule="auto"/>
        <w:rPr>
          <w:b/>
        </w:rPr>
      </w:pPr>
    </w:p>
    <w:p w:rsidR="003C00B9" w:rsidRDefault="003C00B9" w:rsidP="003C00B9">
      <w:pPr>
        <w:pageBreakBefore/>
        <w:spacing w:line="240" w:lineRule="auto"/>
      </w:pPr>
      <w:r>
        <w:lastRenderedPageBreak/>
        <w:t>Załącznik nr 2 – Karta pracy</w:t>
      </w:r>
    </w:p>
    <w:p w:rsidR="003C00B9" w:rsidRDefault="003C00B9" w:rsidP="003C00B9">
      <w:pPr>
        <w:spacing w:line="240" w:lineRule="auto"/>
      </w:pPr>
      <w:r>
        <w:pict>
          <v:shapetype id="_x0000_t202" coordsize="21600,21600" o:spt="202" path="m,l,21600r21600,l21600,xe">
            <v:stroke joinstyle="miter"/>
            <v:path gradientshapeok="t" o:connecttype="rect"/>
          </v:shapetype>
          <v:shape id="_x0000_s1026" type="#_x0000_t202" style="position:absolute;margin-left:-3.75pt;margin-top:33.5pt;width:506.35pt;height:280.6pt;z-index:251658240;mso-wrap-distance-left:0;mso-wrap-distance-right:7.05pt;mso-position-horizontal-relative:margin" stroked="f">
            <v:fill opacity="0" color2="black"/>
            <v:textbox inset="0,0,0,0">
              <w:txbxContent>
                <w:tbl>
                  <w:tblPr>
                    <w:tblW w:w="0" w:type="auto"/>
                    <w:tblInd w:w="70" w:type="dxa"/>
                    <w:tblLayout w:type="fixed"/>
                    <w:tblCellMar>
                      <w:left w:w="70" w:type="dxa"/>
                      <w:right w:w="70" w:type="dxa"/>
                    </w:tblCellMar>
                    <w:tblLook w:val="0000"/>
                  </w:tblPr>
                  <w:tblGrid>
                    <w:gridCol w:w="2336"/>
                    <w:gridCol w:w="1584"/>
                    <w:gridCol w:w="1407"/>
                    <w:gridCol w:w="2632"/>
                    <w:gridCol w:w="2169"/>
                  </w:tblGrid>
                  <w:tr w:rsidR="003C00B9">
                    <w:trPr>
                      <w:trHeight w:val="371"/>
                    </w:trPr>
                    <w:tc>
                      <w:tcPr>
                        <w:tcW w:w="2336" w:type="dxa"/>
                        <w:tcBorders>
                          <w:top w:val="single" w:sz="4" w:space="0" w:color="000000"/>
                          <w:left w:val="single" w:sz="4" w:space="0" w:color="000000"/>
                          <w:bottom w:val="single" w:sz="4" w:space="0" w:color="000000"/>
                        </w:tcBorders>
                        <w:shd w:val="clear" w:color="auto" w:fill="auto"/>
                        <w:vAlign w:val="center"/>
                      </w:tcPr>
                      <w:p w:rsidR="003C00B9" w:rsidRDefault="003C00B9">
                        <w:pPr>
                          <w:spacing w:line="240" w:lineRule="auto"/>
                          <w:jc w:val="center"/>
                          <w:rPr>
                            <w:rStyle w:val="Pogrubienie"/>
                          </w:rPr>
                        </w:pPr>
                        <w:r>
                          <w:rPr>
                            <w:rStyle w:val="Pogrubienie"/>
                          </w:rPr>
                          <w:t>Obserwowane ciało</w:t>
                        </w:r>
                      </w:p>
                    </w:tc>
                    <w:tc>
                      <w:tcPr>
                        <w:tcW w:w="2991" w:type="dxa"/>
                        <w:gridSpan w:val="2"/>
                        <w:tcBorders>
                          <w:top w:val="single" w:sz="4" w:space="0" w:color="000000"/>
                          <w:left w:val="single" w:sz="4" w:space="0" w:color="000000"/>
                          <w:bottom w:val="single" w:sz="4" w:space="0" w:color="000000"/>
                        </w:tcBorders>
                        <w:shd w:val="clear" w:color="auto" w:fill="auto"/>
                        <w:vAlign w:val="center"/>
                      </w:tcPr>
                      <w:p w:rsidR="003C00B9" w:rsidRDefault="003C00B9">
                        <w:pPr>
                          <w:spacing w:line="240" w:lineRule="auto"/>
                          <w:jc w:val="center"/>
                          <w:rPr>
                            <w:rStyle w:val="Pogrubienie"/>
                          </w:rPr>
                        </w:pPr>
                        <w:r>
                          <w:rPr>
                            <w:rStyle w:val="Pogrubienie"/>
                          </w:rPr>
                          <w:t>Zmieniany parametr (wysokość, masa, prędkość itp.)</w:t>
                        </w:r>
                      </w:p>
                    </w:tc>
                    <w:tc>
                      <w:tcPr>
                        <w:tcW w:w="2632" w:type="dxa"/>
                        <w:tcBorders>
                          <w:top w:val="single" w:sz="4" w:space="0" w:color="000000"/>
                          <w:left w:val="single" w:sz="4" w:space="0" w:color="000000"/>
                          <w:bottom w:val="single" w:sz="4" w:space="0" w:color="000000"/>
                        </w:tcBorders>
                        <w:shd w:val="clear" w:color="auto" w:fill="auto"/>
                        <w:vAlign w:val="center"/>
                      </w:tcPr>
                      <w:p w:rsidR="003C00B9" w:rsidRDefault="003C00B9">
                        <w:pPr>
                          <w:spacing w:line="240" w:lineRule="auto"/>
                          <w:jc w:val="center"/>
                          <w:rPr>
                            <w:b/>
                            <w:color w:val="993300"/>
                          </w:rPr>
                        </w:pPr>
                        <w:r>
                          <w:rPr>
                            <w:rStyle w:val="Pogrubienie"/>
                          </w:rPr>
                          <w:t>Zaobserwowane przewracania i przesunięcia barierek drogowych</w:t>
                        </w:r>
                      </w:p>
                    </w:tc>
                    <w:tc>
                      <w:tcPr>
                        <w:tcW w:w="21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C00B9" w:rsidRDefault="003C00B9">
                        <w:pPr>
                          <w:spacing w:line="240" w:lineRule="auto"/>
                          <w:jc w:val="center"/>
                        </w:pPr>
                        <w:r>
                          <w:rPr>
                            <w:b/>
                            <w:color w:val="993300"/>
                          </w:rPr>
                          <w:t>Miejsce na uwagi, wnioski</w:t>
                        </w:r>
                      </w:p>
                    </w:tc>
                  </w:tr>
                  <w:tr w:rsidR="003C00B9">
                    <w:trPr>
                      <w:trHeight w:val="966"/>
                    </w:trPr>
                    <w:tc>
                      <w:tcPr>
                        <w:tcW w:w="2336" w:type="dxa"/>
                        <w:tcBorders>
                          <w:top w:val="single" w:sz="4" w:space="0" w:color="000000"/>
                          <w:left w:val="single" w:sz="4" w:space="0" w:color="000000"/>
                          <w:bottom w:val="single" w:sz="4" w:space="0" w:color="000000"/>
                        </w:tcBorders>
                        <w:shd w:val="clear" w:color="auto" w:fill="auto"/>
                        <w:vAlign w:val="center"/>
                      </w:tcPr>
                      <w:p w:rsidR="003C00B9" w:rsidRDefault="003C00B9">
                        <w:pPr>
                          <w:spacing w:line="240" w:lineRule="auto"/>
                          <w:jc w:val="center"/>
                        </w:pPr>
                        <w:r>
                          <w:t>Samochód  osobowy</w:t>
                        </w:r>
                      </w:p>
                    </w:tc>
                    <w:tc>
                      <w:tcPr>
                        <w:tcW w:w="1584" w:type="dxa"/>
                        <w:vMerge w:val="restart"/>
                        <w:tcBorders>
                          <w:top w:val="single" w:sz="4" w:space="0" w:color="000000"/>
                          <w:left w:val="single" w:sz="4" w:space="0" w:color="000000"/>
                          <w:bottom w:val="single" w:sz="4" w:space="0" w:color="000000"/>
                        </w:tcBorders>
                        <w:shd w:val="clear" w:color="auto" w:fill="auto"/>
                        <w:vAlign w:val="center"/>
                      </w:tcPr>
                      <w:p w:rsidR="003C00B9" w:rsidRDefault="003C00B9">
                        <w:pPr>
                          <w:snapToGrid w:val="0"/>
                          <w:spacing w:line="240" w:lineRule="auto"/>
                          <w:jc w:val="center"/>
                        </w:pPr>
                      </w:p>
                      <w:p w:rsidR="003C00B9" w:rsidRDefault="003C00B9">
                        <w:pPr>
                          <w:spacing w:line="240" w:lineRule="auto"/>
                          <w:jc w:val="center"/>
                        </w:pPr>
                      </w:p>
                      <w:p w:rsidR="003C00B9" w:rsidRDefault="003C00B9">
                        <w:pPr>
                          <w:spacing w:line="240" w:lineRule="auto"/>
                          <w:jc w:val="center"/>
                        </w:pPr>
                        <w:r>
                          <w:t>Masa</w:t>
                        </w:r>
                      </w:p>
                    </w:tc>
                    <w:tc>
                      <w:tcPr>
                        <w:tcW w:w="1407" w:type="dxa"/>
                        <w:tcBorders>
                          <w:top w:val="single" w:sz="4" w:space="0" w:color="000000"/>
                          <w:left w:val="single" w:sz="4" w:space="0" w:color="000000"/>
                          <w:bottom w:val="single" w:sz="4" w:space="0" w:color="000000"/>
                        </w:tcBorders>
                        <w:shd w:val="clear" w:color="auto" w:fill="auto"/>
                        <w:vAlign w:val="center"/>
                      </w:tcPr>
                      <w:p w:rsidR="003C00B9" w:rsidRDefault="003C00B9">
                        <w:pPr>
                          <w:spacing w:line="240" w:lineRule="auto"/>
                          <w:jc w:val="center"/>
                        </w:pPr>
                        <w:r>
                          <w:t>mała</w:t>
                        </w:r>
                      </w:p>
                    </w:tc>
                    <w:tc>
                      <w:tcPr>
                        <w:tcW w:w="2632" w:type="dxa"/>
                        <w:tcBorders>
                          <w:top w:val="single" w:sz="4" w:space="0" w:color="000000"/>
                          <w:left w:val="single" w:sz="4" w:space="0" w:color="000000"/>
                          <w:bottom w:val="single" w:sz="4" w:space="0" w:color="000000"/>
                        </w:tcBorders>
                        <w:shd w:val="clear" w:color="auto" w:fill="auto"/>
                        <w:vAlign w:val="center"/>
                      </w:tcPr>
                      <w:p w:rsidR="003C00B9" w:rsidRDefault="003C00B9">
                        <w:pPr>
                          <w:snapToGrid w:val="0"/>
                          <w:spacing w:line="240" w:lineRule="auto"/>
                          <w:jc w:val="center"/>
                        </w:pPr>
                      </w:p>
                    </w:tc>
                    <w:tc>
                      <w:tcPr>
                        <w:tcW w:w="216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C00B9" w:rsidRDefault="003C00B9">
                        <w:pPr>
                          <w:snapToGrid w:val="0"/>
                          <w:spacing w:line="240" w:lineRule="auto"/>
                          <w:jc w:val="center"/>
                        </w:pPr>
                      </w:p>
                    </w:tc>
                  </w:tr>
                  <w:tr w:rsidR="003C00B9">
                    <w:trPr>
                      <w:trHeight w:val="840"/>
                    </w:trPr>
                    <w:tc>
                      <w:tcPr>
                        <w:tcW w:w="2336" w:type="dxa"/>
                        <w:tcBorders>
                          <w:top w:val="single" w:sz="4" w:space="0" w:color="000000"/>
                          <w:left w:val="single" w:sz="4" w:space="0" w:color="000000"/>
                          <w:bottom w:val="single" w:sz="4" w:space="0" w:color="000000"/>
                        </w:tcBorders>
                        <w:shd w:val="clear" w:color="auto" w:fill="auto"/>
                        <w:vAlign w:val="center"/>
                      </w:tcPr>
                      <w:p w:rsidR="003C00B9" w:rsidRDefault="003C00B9">
                        <w:pPr>
                          <w:spacing w:line="240" w:lineRule="auto"/>
                          <w:jc w:val="center"/>
                        </w:pPr>
                        <w:r>
                          <w:t>Samochód  ciężarowy</w:t>
                        </w:r>
                      </w:p>
                    </w:tc>
                    <w:tc>
                      <w:tcPr>
                        <w:tcW w:w="1584" w:type="dxa"/>
                        <w:vMerge/>
                        <w:tcBorders>
                          <w:top w:val="single" w:sz="4" w:space="0" w:color="000000"/>
                          <w:left w:val="single" w:sz="4" w:space="0" w:color="000000"/>
                          <w:bottom w:val="single" w:sz="4" w:space="0" w:color="000000"/>
                        </w:tcBorders>
                        <w:shd w:val="clear" w:color="auto" w:fill="auto"/>
                        <w:vAlign w:val="center"/>
                      </w:tcPr>
                      <w:p w:rsidR="003C00B9" w:rsidRDefault="003C00B9">
                        <w:pPr>
                          <w:snapToGrid w:val="0"/>
                          <w:spacing w:line="240" w:lineRule="auto"/>
                          <w:jc w:val="center"/>
                        </w:pPr>
                      </w:p>
                    </w:tc>
                    <w:tc>
                      <w:tcPr>
                        <w:tcW w:w="1407" w:type="dxa"/>
                        <w:tcBorders>
                          <w:top w:val="single" w:sz="4" w:space="0" w:color="000000"/>
                          <w:left w:val="single" w:sz="4" w:space="0" w:color="000000"/>
                          <w:bottom w:val="single" w:sz="4" w:space="0" w:color="000000"/>
                        </w:tcBorders>
                        <w:shd w:val="clear" w:color="auto" w:fill="auto"/>
                        <w:vAlign w:val="center"/>
                      </w:tcPr>
                      <w:p w:rsidR="003C00B9" w:rsidRDefault="003C00B9">
                        <w:pPr>
                          <w:spacing w:line="240" w:lineRule="auto"/>
                          <w:jc w:val="center"/>
                        </w:pPr>
                        <w:r>
                          <w:t>duża</w:t>
                        </w:r>
                      </w:p>
                    </w:tc>
                    <w:tc>
                      <w:tcPr>
                        <w:tcW w:w="2632" w:type="dxa"/>
                        <w:tcBorders>
                          <w:top w:val="single" w:sz="4" w:space="0" w:color="000000"/>
                          <w:left w:val="single" w:sz="4" w:space="0" w:color="000000"/>
                          <w:bottom w:val="single" w:sz="4" w:space="0" w:color="000000"/>
                        </w:tcBorders>
                        <w:shd w:val="clear" w:color="auto" w:fill="auto"/>
                        <w:vAlign w:val="center"/>
                      </w:tcPr>
                      <w:p w:rsidR="003C00B9" w:rsidRDefault="003C00B9">
                        <w:pPr>
                          <w:snapToGrid w:val="0"/>
                          <w:spacing w:line="240" w:lineRule="auto"/>
                          <w:jc w:val="center"/>
                        </w:pPr>
                      </w:p>
                    </w:tc>
                    <w:tc>
                      <w:tcPr>
                        <w:tcW w:w="216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C00B9" w:rsidRDefault="003C00B9">
                        <w:pPr>
                          <w:snapToGrid w:val="0"/>
                          <w:spacing w:line="240" w:lineRule="auto"/>
                          <w:jc w:val="center"/>
                        </w:pPr>
                      </w:p>
                    </w:tc>
                  </w:tr>
                  <w:tr w:rsidR="003C00B9">
                    <w:trPr>
                      <w:trHeight w:val="532"/>
                    </w:trPr>
                    <w:tc>
                      <w:tcPr>
                        <w:tcW w:w="2336" w:type="dxa"/>
                        <w:tcBorders>
                          <w:top w:val="single" w:sz="4" w:space="0" w:color="000000"/>
                          <w:left w:val="single" w:sz="4" w:space="0" w:color="000000"/>
                          <w:bottom w:val="single" w:sz="4" w:space="0" w:color="000000"/>
                        </w:tcBorders>
                        <w:shd w:val="clear" w:color="auto" w:fill="auto"/>
                        <w:vAlign w:val="center"/>
                      </w:tcPr>
                      <w:p w:rsidR="003C00B9" w:rsidRDefault="003C00B9">
                        <w:pPr>
                          <w:spacing w:line="240" w:lineRule="auto"/>
                          <w:jc w:val="center"/>
                        </w:pPr>
                        <w:r>
                          <w:t>Samochód  osobowy</w:t>
                        </w:r>
                      </w:p>
                    </w:tc>
                    <w:tc>
                      <w:tcPr>
                        <w:tcW w:w="1584" w:type="dxa"/>
                        <w:vMerge w:val="restart"/>
                        <w:tcBorders>
                          <w:top w:val="single" w:sz="4" w:space="0" w:color="000000"/>
                          <w:left w:val="single" w:sz="4" w:space="0" w:color="000000"/>
                          <w:bottom w:val="single" w:sz="4" w:space="0" w:color="000000"/>
                        </w:tcBorders>
                        <w:shd w:val="clear" w:color="auto" w:fill="auto"/>
                        <w:vAlign w:val="center"/>
                      </w:tcPr>
                      <w:p w:rsidR="003C00B9" w:rsidRDefault="003C00B9">
                        <w:pPr>
                          <w:snapToGrid w:val="0"/>
                          <w:spacing w:line="240" w:lineRule="auto"/>
                          <w:jc w:val="center"/>
                        </w:pPr>
                      </w:p>
                      <w:p w:rsidR="003C00B9" w:rsidRDefault="003C00B9">
                        <w:pPr>
                          <w:spacing w:line="240" w:lineRule="auto"/>
                          <w:jc w:val="center"/>
                        </w:pPr>
                        <w:r>
                          <w:t>Prędkość</w:t>
                        </w:r>
                      </w:p>
                    </w:tc>
                    <w:tc>
                      <w:tcPr>
                        <w:tcW w:w="1407" w:type="dxa"/>
                        <w:tcBorders>
                          <w:top w:val="single" w:sz="4" w:space="0" w:color="000000"/>
                          <w:left w:val="single" w:sz="4" w:space="0" w:color="000000"/>
                          <w:bottom w:val="single" w:sz="4" w:space="0" w:color="000000"/>
                        </w:tcBorders>
                        <w:shd w:val="clear" w:color="auto" w:fill="auto"/>
                        <w:vAlign w:val="center"/>
                      </w:tcPr>
                      <w:p w:rsidR="003C00B9" w:rsidRDefault="003C00B9">
                        <w:pPr>
                          <w:spacing w:line="240" w:lineRule="auto"/>
                          <w:jc w:val="center"/>
                        </w:pPr>
                        <w:r>
                          <w:t>mała</w:t>
                        </w:r>
                      </w:p>
                    </w:tc>
                    <w:tc>
                      <w:tcPr>
                        <w:tcW w:w="2632" w:type="dxa"/>
                        <w:tcBorders>
                          <w:top w:val="single" w:sz="4" w:space="0" w:color="000000"/>
                          <w:left w:val="single" w:sz="4" w:space="0" w:color="000000"/>
                          <w:bottom w:val="single" w:sz="4" w:space="0" w:color="000000"/>
                        </w:tcBorders>
                        <w:shd w:val="clear" w:color="auto" w:fill="auto"/>
                        <w:vAlign w:val="center"/>
                      </w:tcPr>
                      <w:p w:rsidR="003C00B9" w:rsidRDefault="003C00B9">
                        <w:pPr>
                          <w:snapToGrid w:val="0"/>
                          <w:spacing w:line="240" w:lineRule="auto"/>
                          <w:jc w:val="center"/>
                        </w:pPr>
                      </w:p>
                    </w:tc>
                    <w:tc>
                      <w:tcPr>
                        <w:tcW w:w="216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C00B9" w:rsidRDefault="003C00B9">
                        <w:pPr>
                          <w:snapToGrid w:val="0"/>
                          <w:spacing w:line="240" w:lineRule="auto"/>
                          <w:jc w:val="center"/>
                        </w:pPr>
                      </w:p>
                    </w:tc>
                  </w:tr>
                  <w:tr w:rsidR="003C00B9">
                    <w:trPr>
                      <w:trHeight w:val="613"/>
                    </w:trPr>
                    <w:tc>
                      <w:tcPr>
                        <w:tcW w:w="2336" w:type="dxa"/>
                        <w:tcBorders>
                          <w:top w:val="single" w:sz="4" w:space="0" w:color="000000"/>
                          <w:left w:val="single" w:sz="4" w:space="0" w:color="000000"/>
                          <w:bottom w:val="single" w:sz="4" w:space="0" w:color="000000"/>
                        </w:tcBorders>
                        <w:shd w:val="clear" w:color="auto" w:fill="auto"/>
                        <w:vAlign w:val="center"/>
                      </w:tcPr>
                      <w:p w:rsidR="003C00B9" w:rsidRDefault="003C00B9">
                        <w:pPr>
                          <w:spacing w:line="240" w:lineRule="auto"/>
                          <w:jc w:val="center"/>
                        </w:pPr>
                        <w:r>
                          <w:t>Samochód  osobowy</w:t>
                        </w:r>
                      </w:p>
                    </w:tc>
                    <w:tc>
                      <w:tcPr>
                        <w:tcW w:w="1584" w:type="dxa"/>
                        <w:vMerge/>
                        <w:tcBorders>
                          <w:top w:val="single" w:sz="4" w:space="0" w:color="000000"/>
                          <w:left w:val="single" w:sz="4" w:space="0" w:color="000000"/>
                          <w:bottom w:val="single" w:sz="4" w:space="0" w:color="000000"/>
                        </w:tcBorders>
                        <w:shd w:val="clear" w:color="auto" w:fill="auto"/>
                        <w:vAlign w:val="center"/>
                      </w:tcPr>
                      <w:p w:rsidR="003C00B9" w:rsidRDefault="003C00B9">
                        <w:pPr>
                          <w:snapToGrid w:val="0"/>
                          <w:spacing w:line="240" w:lineRule="auto"/>
                          <w:jc w:val="center"/>
                        </w:pPr>
                      </w:p>
                    </w:tc>
                    <w:tc>
                      <w:tcPr>
                        <w:tcW w:w="1407" w:type="dxa"/>
                        <w:tcBorders>
                          <w:top w:val="single" w:sz="4" w:space="0" w:color="000000"/>
                          <w:left w:val="single" w:sz="4" w:space="0" w:color="000000"/>
                          <w:bottom w:val="single" w:sz="4" w:space="0" w:color="000000"/>
                        </w:tcBorders>
                        <w:shd w:val="clear" w:color="auto" w:fill="auto"/>
                        <w:vAlign w:val="center"/>
                      </w:tcPr>
                      <w:p w:rsidR="003C00B9" w:rsidRDefault="003C00B9">
                        <w:pPr>
                          <w:spacing w:line="240" w:lineRule="auto"/>
                          <w:jc w:val="center"/>
                        </w:pPr>
                        <w:r>
                          <w:t>duża</w:t>
                        </w:r>
                      </w:p>
                    </w:tc>
                    <w:tc>
                      <w:tcPr>
                        <w:tcW w:w="2632" w:type="dxa"/>
                        <w:tcBorders>
                          <w:top w:val="single" w:sz="4" w:space="0" w:color="000000"/>
                          <w:left w:val="single" w:sz="4" w:space="0" w:color="000000"/>
                          <w:bottom w:val="single" w:sz="4" w:space="0" w:color="000000"/>
                        </w:tcBorders>
                        <w:shd w:val="clear" w:color="auto" w:fill="auto"/>
                        <w:vAlign w:val="center"/>
                      </w:tcPr>
                      <w:p w:rsidR="003C00B9" w:rsidRDefault="003C00B9">
                        <w:pPr>
                          <w:snapToGrid w:val="0"/>
                          <w:spacing w:line="240" w:lineRule="auto"/>
                          <w:jc w:val="center"/>
                        </w:pPr>
                      </w:p>
                    </w:tc>
                    <w:tc>
                      <w:tcPr>
                        <w:tcW w:w="216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C00B9" w:rsidRDefault="003C00B9">
                        <w:pPr>
                          <w:snapToGrid w:val="0"/>
                          <w:spacing w:line="240" w:lineRule="auto"/>
                          <w:jc w:val="center"/>
                        </w:pPr>
                      </w:p>
                    </w:tc>
                  </w:tr>
                  <w:tr w:rsidR="003C00B9">
                    <w:trPr>
                      <w:trHeight w:val="1366"/>
                    </w:trPr>
                    <w:tc>
                      <w:tcPr>
                        <w:tcW w:w="2336" w:type="dxa"/>
                        <w:tcBorders>
                          <w:top w:val="single" w:sz="4" w:space="0" w:color="000000"/>
                          <w:left w:val="single" w:sz="4" w:space="0" w:color="000000"/>
                          <w:bottom w:val="single" w:sz="4" w:space="0" w:color="000000"/>
                        </w:tcBorders>
                        <w:shd w:val="clear" w:color="auto" w:fill="auto"/>
                        <w:vAlign w:val="center"/>
                      </w:tcPr>
                      <w:p w:rsidR="003C00B9" w:rsidRDefault="003C00B9">
                        <w:pPr>
                          <w:snapToGrid w:val="0"/>
                          <w:spacing w:line="240" w:lineRule="auto"/>
                          <w:jc w:val="center"/>
                        </w:pPr>
                      </w:p>
                    </w:tc>
                    <w:tc>
                      <w:tcPr>
                        <w:tcW w:w="1584" w:type="dxa"/>
                        <w:tcBorders>
                          <w:top w:val="single" w:sz="4" w:space="0" w:color="000000"/>
                          <w:left w:val="single" w:sz="4" w:space="0" w:color="000000"/>
                          <w:bottom w:val="single" w:sz="4" w:space="0" w:color="000000"/>
                        </w:tcBorders>
                        <w:shd w:val="clear" w:color="auto" w:fill="auto"/>
                        <w:vAlign w:val="center"/>
                      </w:tcPr>
                      <w:p w:rsidR="003C00B9" w:rsidRDefault="003C00B9">
                        <w:pPr>
                          <w:snapToGrid w:val="0"/>
                          <w:spacing w:line="240" w:lineRule="auto"/>
                          <w:jc w:val="center"/>
                        </w:pPr>
                      </w:p>
                    </w:tc>
                    <w:tc>
                      <w:tcPr>
                        <w:tcW w:w="1407" w:type="dxa"/>
                        <w:tcBorders>
                          <w:top w:val="single" w:sz="4" w:space="0" w:color="000000"/>
                          <w:left w:val="single" w:sz="4" w:space="0" w:color="000000"/>
                          <w:bottom w:val="single" w:sz="4" w:space="0" w:color="000000"/>
                        </w:tcBorders>
                        <w:shd w:val="clear" w:color="auto" w:fill="auto"/>
                        <w:vAlign w:val="center"/>
                      </w:tcPr>
                      <w:p w:rsidR="003C00B9" w:rsidRDefault="003C00B9">
                        <w:pPr>
                          <w:snapToGrid w:val="0"/>
                          <w:spacing w:line="240" w:lineRule="auto"/>
                          <w:jc w:val="center"/>
                        </w:pPr>
                      </w:p>
                    </w:tc>
                    <w:tc>
                      <w:tcPr>
                        <w:tcW w:w="2632" w:type="dxa"/>
                        <w:tcBorders>
                          <w:top w:val="single" w:sz="4" w:space="0" w:color="000000"/>
                          <w:left w:val="single" w:sz="4" w:space="0" w:color="000000"/>
                          <w:bottom w:val="single" w:sz="4" w:space="0" w:color="000000"/>
                        </w:tcBorders>
                        <w:shd w:val="clear" w:color="auto" w:fill="auto"/>
                        <w:vAlign w:val="center"/>
                      </w:tcPr>
                      <w:p w:rsidR="003C00B9" w:rsidRDefault="003C00B9">
                        <w:pPr>
                          <w:snapToGrid w:val="0"/>
                          <w:spacing w:line="240" w:lineRule="auto"/>
                          <w:jc w:val="center"/>
                        </w:pPr>
                      </w:p>
                    </w:tc>
                    <w:tc>
                      <w:tcPr>
                        <w:tcW w:w="21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C00B9" w:rsidRDefault="003C00B9">
                        <w:pPr>
                          <w:snapToGrid w:val="0"/>
                          <w:spacing w:line="240" w:lineRule="auto"/>
                          <w:jc w:val="center"/>
                        </w:pPr>
                      </w:p>
                    </w:tc>
                  </w:tr>
                </w:tbl>
                <w:p w:rsidR="003C00B9" w:rsidRDefault="003C00B9" w:rsidP="003C00B9">
                  <w:r>
                    <w:t xml:space="preserve"> </w:t>
                  </w:r>
                </w:p>
              </w:txbxContent>
            </v:textbox>
            <w10:wrap type="square" side="largest" anchorx="margin"/>
          </v:shape>
        </w:pict>
      </w:r>
    </w:p>
    <w:p w:rsidR="003C00B9" w:rsidRDefault="003C00B9" w:rsidP="003C00B9">
      <w:pPr>
        <w:rPr>
          <w:noProof/>
          <w:lang w:eastAsia="pl-PL"/>
        </w:rPr>
      </w:pPr>
    </w:p>
    <w:p w:rsidR="003C00B9" w:rsidRDefault="003C00B9" w:rsidP="003C00B9">
      <w:pPr>
        <w:rPr>
          <w:noProof/>
          <w:lang w:eastAsia="pl-PL"/>
        </w:rPr>
      </w:pPr>
    </w:p>
    <w:p w:rsidR="003C00B9" w:rsidRDefault="003C00B9" w:rsidP="003C00B9">
      <w:pPr>
        <w:rPr>
          <w:noProof/>
          <w:lang w:eastAsia="pl-PL"/>
        </w:rPr>
      </w:pPr>
    </w:p>
    <w:p w:rsidR="003C00B9" w:rsidRDefault="003C00B9" w:rsidP="003C00B9">
      <w:pPr>
        <w:rPr>
          <w:noProof/>
          <w:lang w:eastAsia="pl-PL"/>
        </w:rPr>
      </w:pPr>
    </w:p>
    <w:p w:rsidR="003C00B9" w:rsidRDefault="003C00B9" w:rsidP="003C00B9">
      <w:pPr>
        <w:rPr>
          <w:noProof/>
          <w:lang w:eastAsia="pl-PL"/>
        </w:rPr>
      </w:pPr>
    </w:p>
    <w:p w:rsidR="003C00B9" w:rsidRDefault="003C00B9" w:rsidP="003C00B9">
      <w:pPr>
        <w:rPr>
          <w:noProof/>
          <w:lang w:eastAsia="pl-PL"/>
        </w:rPr>
      </w:pPr>
    </w:p>
    <w:p w:rsidR="003C00B9" w:rsidRDefault="003C00B9" w:rsidP="003C00B9">
      <w:pPr>
        <w:rPr>
          <w:noProof/>
          <w:lang w:eastAsia="pl-PL"/>
        </w:rPr>
      </w:pPr>
    </w:p>
    <w:p w:rsidR="003C00B9" w:rsidRDefault="003C00B9" w:rsidP="003C00B9">
      <w:pPr>
        <w:rPr>
          <w:noProof/>
          <w:lang w:eastAsia="pl-PL"/>
        </w:rPr>
      </w:pPr>
    </w:p>
    <w:p w:rsidR="003C00B9" w:rsidRDefault="003C00B9" w:rsidP="003C00B9">
      <w:pPr>
        <w:rPr>
          <w:noProof/>
          <w:lang w:eastAsia="pl-PL"/>
        </w:rPr>
      </w:pPr>
    </w:p>
    <w:p w:rsidR="003C00B9" w:rsidRDefault="003C00B9" w:rsidP="003C00B9">
      <w:pPr>
        <w:rPr>
          <w:noProof/>
          <w:lang w:eastAsia="pl-PL"/>
        </w:rPr>
      </w:pPr>
    </w:p>
    <w:p w:rsidR="003C00B9" w:rsidRDefault="003C00B9" w:rsidP="003C00B9">
      <w:pPr>
        <w:rPr>
          <w:noProof/>
          <w:lang w:eastAsia="pl-PL"/>
        </w:rPr>
      </w:pPr>
    </w:p>
    <w:p w:rsidR="003C00B9" w:rsidRDefault="003C00B9" w:rsidP="003C00B9">
      <w:pPr>
        <w:rPr>
          <w:noProof/>
          <w:lang w:eastAsia="pl-PL"/>
        </w:rPr>
      </w:pPr>
    </w:p>
    <w:p w:rsidR="003C00B9" w:rsidRDefault="003C00B9" w:rsidP="003C00B9">
      <w:pPr>
        <w:rPr>
          <w:noProof/>
          <w:lang w:eastAsia="pl-PL"/>
        </w:rPr>
      </w:pPr>
    </w:p>
    <w:p w:rsidR="003C00B9" w:rsidRDefault="003C00B9" w:rsidP="003C00B9">
      <w:pPr>
        <w:rPr>
          <w:noProof/>
          <w:lang w:eastAsia="pl-PL"/>
        </w:rPr>
      </w:pPr>
    </w:p>
    <w:p w:rsidR="003C00B9" w:rsidRDefault="003C00B9" w:rsidP="003C00B9">
      <w:pPr>
        <w:rPr>
          <w:noProof/>
          <w:lang w:eastAsia="pl-PL"/>
        </w:rPr>
      </w:pPr>
    </w:p>
    <w:p w:rsidR="008152A9" w:rsidRDefault="008152A9"/>
    <w:sectPr w:rsidR="008152A9" w:rsidSect="003C00B9">
      <w:pgSz w:w="16838" w:h="11906" w:orient="landscape"/>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Nagwek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3"/>
    <w:lvl w:ilvl="0">
      <w:start w:val="1"/>
      <w:numFmt w:val="bullet"/>
      <w:lvlText w:val=""/>
      <w:lvlJc w:val="left"/>
      <w:pPr>
        <w:tabs>
          <w:tab w:val="num" w:pos="720"/>
        </w:tabs>
        <w:ind w:left="720" w:hanging="360"/>
      </w:pPr>
      <w:rPr>
        <w:rFonts w:ascii="Symbol" w:hAnsi="Symbol" w:cs="Symbol"/>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b/>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610A7DE4"/>
    <w:multiLevelType w:val="hybridMultilevel"/>
    <w:tmpl w:val="B9743D9E"/>
    <w:lvl w:ilvl="0" w:tplc="0415000B">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drawingGridHorizontalSpacing w:val="110"/>
  <w:displayHorizontalDrawingGridEvery w:val="2"/>
  <w:characterSpacingControl w:val="doNotCompress"/>
  <w:compat/>
  <w:rsids>
    <w:rsidRoot w:val="003C00B9"/>
    <w:rsid w:val="003C00B9"/>
    <w:rsid w:val="008152A9"/>
    <w:rsid w:val="008648C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C00B9"/>
  </w:style>
  <w:style w:type="paragraph" w:styleId="Nagwek2">
    <w:name w:val="heading 2"/>
    <w:basedOn w:val="Normalny"/>
    <w:next w:val="Normalny"/>
    <w:link w:val="Nagwek2Znak"/>
    <w:qFormat/>
    <w:rsid w:val="003C00B9"/>
    <w:pPr>
      <w:numPr>
        <w:ilvl w:val="1"/>
        <w:numId w:val="1"/>
      </w:numPr>
      <w:pBdr>
        <w:bottom w:val="single" w:sz="4" w:space="1" w:color="000000"/>
      </w:pBdr>
      <w:suppressAutoHyphens/>
      <w:spacing w:before="400" w:line="252" w:lineRule="auto"/>
      <w:jc w:val="center"/>
      <w:outlineLvl w:val="1"/>
    </w:pPr>
    <w:rPr>
      <w:rFonts w:ascii="Calibri" w:eastAsia="MS Gothic" w:hAnsi="Calibri" w:cs="Times New Roman"/>
      <w:caps/>
      <w:color w:val="632423"/>
      <w:spacing w:val="15"/>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rsid w:val="003C00B9"/>
    <w:rPr>
      <w:rFonts w:ascii="Calibri" w:eastAsia="MS Gothic" w:hAnsi="Calibri" w:cs="Times New Roman"/>
      <w:caps/>
      <w:color w:val="632423"/>
      <w:spacing w:val="15"/>
      <w:sz w:val="24"/>
      <w:szCs w:val="24"/>
      <w:lang w:eastAsia="ar-SA"/>
    </w:rPr>
  </w:style>
  <w:style w:type="character" w:styleId="Pogrubienie">
    <w:name w:val="Strong"/>
    <w:qFormat/>
    <w:rsid w:val="003C00B9"/>
    <w:rPr>
      <w:b/>
      <w:bCs/>
      <w:color w:val="943634"/>
      <w:spacing w:val="5"/>
    </w:rPr>
  </w:style>
  <w:style w:type="paragraph" w:styleId="Akapitzlist">
    <w:name w:val="List Paragraph"/>
    <w:basedOn w:val="Normalny"/>
    <w:qFormat/>
    <w:rsid w:val="003C00B9"/>
    <w:pPr>
      <w:suppressAutoHyphens/>
      <w:spacing w:after="0" w:line="240" w:lineRule="auto"/>
      <w:ind w:left="720"/>
      <w:jc w:val="both"/>
    </w:pPr>
    <w:rPr>
      <w:rFonts w:ascii="Cambria" w:eastAsia="Cambria" w:hAnsi="Cambria" w:cs="Cambria"/>
      <w:lang w:eastAsia="ar-SA"/>
    </w:rPr>
  </w:style>
  <w:style w:type="character" w:styleId="Hipercze">
    <w:name w:val="Hyperlink"/>
    <w:basedOn w:val="Domylnaczcionkaakapitu"/>
    <w:uiPriority w:val="99"/>
    <w:unhideWhenUsed/>
    <w:rsid w:val="003C00B9"/>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cholaris.pl" TargetMode="External"/><Relationship Id="rId3" Type="http://schemas.openxmlformats.org/officeDocument/2006/relationships/settings" Target="settings.xml"/><Relationship Id="rId7" Type="http://schemas.openxmlformats.org/officeDocument/2006/relationships/hyperlink" Target="http://www.scholaris.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cholaris.pl" TargetMode="External"/><Relationship Id="rId5" Type="http://schemas.openxmlformats.org/officeDocument/2006/relationships/hyperlink" Target="http://www.scholaris.p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686</Words>
  <Characters>4121</Characters>
  <Application>Microsoft Office Word</Application>
  <DocSecurity>0</DocSecurity>
  <Lines>34</Lines>
  <Paragraphs>9</Paragraphs>
  <ScaleCrop>false</ScaleCrop>
  <Company>Hewlett-Packard</Company>
  <LinksUpToDate>false</LinksUpToDate>
  <CharactersWithSpaces>4798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2018-06-26T18:22:00Z</dcterms:created>
  <dcterms:modified xsi:type="dcterms:W3CDTF">2018-06-26T18:23:00Z</dcterms:modified>
</cp:coreProperties>
</file>